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C9" w:rsidRDefault="000760C9" w:rsidP="000760C9">
      <w:pPr>
        <w:tabs>
          <w:tab w:val="left" w:pos="3180"/>
        </w:tabs>
        <w:rPr>
          <w:b/>
          <w:bCs/>
        </w:rPr>
      </w:pPr>
    </w:p>
    <w:p w:rsidR="000760C9" w:rsidRDefault="000760C9" w:rsidP="000760C9">
      <w:pPr>
        <w:tabs>
          <w:tab w:val="left" w:pos="3180"/>
        </w:tabs>
        <w:jc w:val="center"/>
        <w:rPr>
          <w:b/>
          <w:bCs/>
        </w:rPr>
      </w:pPr>
    </w:p>
    <w:p w:rsidR="000760C9" w:rsidRDefault="000760C9" w:rsidP="000760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Zariadenie pre seniorov Juraja </w:t>
      </w:r>
      <w:proofErr w:type="spellStart"/>
      <w:r>
        <w:rPr>
          <w:b/>
          <w:sz w:val="28"/>
          <w:szCs w:val="28"/>
          <w:u w:val="single"/>
        </w:rPr>
        <w:t>Schoppera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n.o.,Rožňava</w:t>
      </w:r>
      <w:proofErr w:type="spellEnd"/>
      <w:r>
        <w:rPr>
          <w:b/>
          <w:sz w:val="28"/>
          <w:szCs w:val="28"/>
          <w:u w:val="single"/>
        </w:rPr>
        <w:t xml:space="preserve"> – Huta 3454</w:t>
      </w:r>
    </w:p>
    <w:p w:rsidR="000760C9" w:rsidRDefault="000760C9" w:rsidP="000760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048 01  Rožňava</w:t>
      </w:r>
    </w:p>
    <w:p w:rsidR="000760C9" w:rsidRDefault="000760C9" w:rsidP="000760C9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b/>
          <w:bCs/>
          <w:sz w:val="24"/>
          <w:szCs w:val="24"/>
          <w:u w:val="single"/>
          <w:lang w:val="en-US"/>
        </w:rPr>
      </w:pPr>
    </w:p>
    <w:p w:rsidR="000760C9" w:rsidRDefault="000760C9" w:rsidP="000760C9">
      <w:pPr>
        <w:jc w:val="center"/>
        <w:rPr>
          <w:sz w:val="24"/>
          <w:szCs w:val="24"/>
          <w:u w:val="single"/>
        </w:rPr>
      </w:pPr>
    </w:p>
    <w:p w:rsidR="000760C9" w:rsidRDefault="000760C9" w:rsidP="000760C9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760C9" w:rsidRDefault="000760C9" w:rsidP="000760C9">
      <w:pPr>
        <w:tabs>
          <w:tab w:val="left" w:pos="5595"/>
        </w:tabs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ab/>
      </w:r>
    </w:p>
    <w:p w:rsidR="000760C9" w:rsidRDefault="000760C9" w:rsidP="000760C9">
      <w:pPr>
        <w:tabs>
          <w:tab w:val="left" w:pos="5595"/>
        </w:tabs>
        <w:rPr>
          <w:sz w:val="22"/>
          <w:szCs w:val="22"/>
        </w:rPr>
      </w:pPr>
      <w:r>
        <w:rPr>
          <w:color w:val="FF0000"/>
          <w:sz w:val="28"/>
          <w:szCs w:val="28"/>
        </w:rPr>
        <w:tab/>
      </w:r>
      <w:r>
        <w:rPr>
          <w:sz w:val="22"/>
          <w:szCs w:val="22"/>
        </w:rPr>
        <w:t>Záujemcom o účasť vo verejnom</w:t>
      </w:r>
    </w:p>
    <w:p w:rsidR="000760C9" w:rsidRDefault="000760C9" w:rsidP="000760C9">
      <w:pPr>
        <w:tabs>
          <w:tab w:val="left" w:pos="5595"/>
        </w:tabs>
        <w:rPr>
          <w:sz w:val="22"/>
          <w:szCs w:val="22"/>
        </w:rPr>
      </w:pPr>
      <w:r>
        <w:rPr>
          <w:sz w:val="22"/>
          <w:szCs w:val="22"/>
        </w:rPr>
        <w:tab/>
        <w:t>obstarávaní</w:t>
      </w:r>
    </w:p>
    <w:p w:rsidR="000760C9" w:rsidRDefault="000760C9" w:rsidP="000760C9">
      <w:pPr>
        <w:tabs>
          <w:tab w:val="left" w:pos="5595"/>
        </w:tabs>
        <w:rPr>
          <w:bCs/>
          <w:sz w:val="22"/>
          <w:szCs w:val="22"/>
          <w:lang w:val="en-US"/>
        </w:rPr>
      </w:pPr>
    </w:p>
    <w:p w:rsidR="000760C9" w:rsidRDefault="000760C9" w:rsidP="000760C9">
      <w:pPr>
        <w:widowControl w:val="0"/>
        <w:tabs>
          <w:tab w:val="left" w:pos="284"/>
        </w:tabs>
        <w:autoSpaceDE w:val="0"/>
        <w:autoSpaceDN w:val="0"/>
        <w:adjustRightInd w:val="0"/>
        <w:ind w:left="284" w:right="43"/>
        <w:jc w:val="center"/>
        <w:rPr>
          <w:b/>
          <w:bCs/>
          <w:lang w:val="en-US"/>
        </w:rPr>
      </w:pPr>
    </w:p>
    <w:p w:rsidR="000760C9" w:rsidRDefault="000760C9" w:rsidP="000760C9">
      <w:pPr>
        <w:widowControl w:val="0"/>
        <w:tabs>
          <w:tab w:val="left" w:pos="284"/>
        </w:tabs>
        <w:autoSpaceDE w:val="0"/>
        <w:autoSpaceDN w:val="0"/>
        <w:adjustRightInd w:val="0"/>
        <w:ind w:left="284" w:right="43"/>
        <w:jc w:val="center"/>
        <w:rPr>
          <w:b/>
          <w:bCs/>
          <w:lang w:val="en-US"/>
        </w:rPr>
      </w:pPr>
    </w:p>
    <w:p w:rsidR="000760C9" w:rsidRDefault="000760C9" w:rsidP="000760C9">
      <w:pPr>
        <w:widowControl w:val="0"/>
        <w:tabs>
          <w:tab w:val="left" w:pos="284"/>
        </w:tabs>
        <w:autoSpaceDE w:val="0"/>
        <w:autoSpaceDN w:val="0"/>
        <w:adjustRightInd w:val="0"/>
        <w:ind w:left="284" w:right="43"/>
        <w:jc w:val="center"/>
        <w:rPr>
          <w:b/>
          <w:bCs/>
          <w:sz w:val="22"/>
          <w:szCs w:val="22"/>
          <w:lang w:val="en-US"/>
        </w:rPr>
      </w:pPr>
    </w:p>
    <w:p w:rsidR="000760C9" w:rsidRDefault="000760C9" w:rsidP="000760C9">
      <w:pPr>
        <w:widowControl w:val="0"/>
        <w:tabs>
          <w:tab w:val="left" w:pos="284"/>
        </w:tabs>
        <w:autoSpaceDE w:val="0"/>
        <w:autoSpaceDN w:val="0"/>
        <w:adjustRightInd w:val="0"/>
        <w:ind w:left="284" w:right="43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                                           </w:t>
      </w:r>
    </w:p>
    <w:p w:rsidR="000760C9" w:rsidRDefault="000760C9" w:rsidP="000760C9">
      <w:pPr>
        <w:widowControl w:val="0"/>
        <w:autoSpaceDE w:val="0"/>
        <w:autoSpaceDN w:val="0"/>
        <w:adjustRightInd w:val="0"/>
      </w:pPr>
      <w:r>
        <w:t>Vec</w:t>
      </w:r>
    </w:p>
    <w:p w:rsidR="000760C9" w:rsidRDefault="000760C9" w:rsidP="000760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t>Výzva na predloženie cenovej ponuky</w:t>
      </w:r>
    </w:p>
    <w:p w:rsidR="000760C9" w:rsidRDefault="000760C9" w:rsidP="000760C9">
      <w:pPr>
        <w:widowControl w:val="0"/>
        <w:autoSpaceDE w:val="0"/>
        <w:autoSpaceDN w:val="0"/>
        <w:adjustRightInd w:val="0"/>
        <w:rPr>
          <w:b/>
        </w:rPr>
      </w:pPr>
    </w:p>
    <w:p w:rsidR="000760C9" w:rsidRDefault="000760C9" w:rsidP="000760C9">
      <w:pPr>
        <w:widowControl w:val="0"/>
        <w:autoSpaceDE w:val="0"/>
        <w:autoSpaceDN w:val="0"/>
        <w:adjustRightInd w:val="0"/>
      </w:pPr>
      <w:r>
        <w:t xml:space="preserve">      Dovoľujeme si Vás vyzvať na predloženie cenovej ponuky na zákazku</w:t>
      </w:r>
    </w:p>
    <w:p w:rsidR="000760C9" w:rsidRDefault="000760C9" w:rsidP="000760C9">
      <w:pPr>
        <w:widowControl w:val="0"/>
        <w:autoSpaceDE w:val="0"/>
        <w:autoSpaceDN w:val="0"/>
        <w:adjustRightInd w:val="0"/>
      </w:pPr>
    </w:p>
    <w:p w:rsidR="000760C9" w:rsidRDefault="000760C9" w:rsidP="000760C9">
      <w:pPr>
        <w:jc w:val="center"/>
        <w:rPr>
          <w:b/>
        </w:rPr>
      </w:pPr>
      <w:r>
        <w:rPr>
          <w:b/>
        </w:rPr>
        <w:t>„Potraviny“</w:t>
      </w:r>
    </w:p>
    <w:p w:rsidR="000760C9" w:rsidRDefault="000760C9" w:rsidP="000760C9">
      <w:pPr>
        <w:jc w:val="center"/>
        <w:rPr>
          <w:b/>
        </w:rPr>
      </w:pPr>
    </w:p>
    <w:p w:rsidR="000760C9" w:rsidRDefault="000760C9" w:rsidP="000760C9">
      <w:pPr>
        <w:widowControl w:val="0"/>
        <w:autoSpaceDE w:val="0"/>
        <w:autoSpaceDN w:val="0"/>
        <w:adjustRightInd w:val="0"/>
      </w:pPr>
      <w:r>
        <w:t>v súlade s § 117 zákona č.343/2015 Z. z. o verejnom obstarávaní a o zmene a doplnení niektorých zákonov v znení neskorších predpisov – zadávanie zákaziek s nízkou hodnotou.</w:t>
      </w:r>
    </w:p>
    <w:p w:rsidR="000760C9" w:rsidRDefault="000760C9" w:rsidP="000760C9">
      <w:pPr>
        <w:widowControl w:val="0"/>
        <w:autoSpaceDE w:val="0"/>
        <w:autoSpaceDN w:val="0"/>
        <w:adjustRightInd w:val="0"/>
      </w:pPr>
    </w:p>
    <w:p w:rsidR="000760C9" w:rsidRDefault="000760C9" w:rsidP="000760C9">
      <w:r>
        <w:t xml:space="preserve">     Predpokladaný termín dodávky tovaru  júl  2017 – júl  2018. </w:t>
      </w:r>
    </w:p>
    <w:p w:rsidR="000760C9" w:rsidRDefault="000760C9" w:rsidP="000760C9">
      <w:pPr>
        <w:widowControl w:val="0"/>
        <w:autoSpaceDE w:val="0"/>
        <w:autoSpaceDN w:val="0"/>
        <w:adjustRightInd w:val="0"/>
        <w:rPr>
          <w:bCs/>
        </w:rPr>
      </w:pPr>
    </w:p>
    <w:p w:rsidR="000760C9" w:rsidRDefault="000760C9" w:rsidP="000760C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Cenové  ponuky  žiadame  predložiť  do 12. 7. 2017 do 10.00 hod.  na adresu  verejného  obstarávateľa v listinnej</w:t>
      </w:r>
    </w:p>
    <w:p w:rsidR="000760C9" w:rsidRDefault="000760C9" w:rsidP="000760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podobe osobne alebo poštovou zásielkou.</w:t>
      </w:r>
    </w:p>
    <w:p w:rsidR="000760C9" w:rsidRDefault="000760C9" w:rsidP="000760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0760C9" w:rsidRDefault="000760C9" w:rsidP="000760C9">
      <w:pPr>
        <w:widowControl w:val="0"/>
        <w:autoSpaceDE w:val="0"/>
        <w:autoSpaceDN w:val="0"/>
        <w:adjustRightInd w:val="0"/>
      </w:pPr>
    </w:p>
    <w:p w:rsidR="000760C9" w:rsidRDefault="000760C9" w:rsidP="000760C9">
      <w:pPr>
        <w:widowControl w:val="0"/>
        <w:autoSpaceDE w:val="0"/>
        <w:autoSpaceDN w:val="0"/>
        <w:adjustRightInd w:val="0"/>
        <w:rPr>
          <w:b/>
          <w:bCs/>
        </w:rPr>
      </w:pPr>
    </w:p>
    <w:p w:rsidR="000760C9" w:rsidRDefault="000760C9" w:rsidP="000760C9">
      <w:pPr>
        <w:widowControl w:val="0"/>
        <w:autoSpaceDE w:val="0"/>
        <w:autoSpaceDN w:val="0"/>
        <w:adjustRightInd w:val="0"/>
      </w:pPr>
    </w:p>
    <w:p w:rsidR="000760C9" w:rsidRDefault="000760C9" w:rsidP="000760C9">
      <w:pPr>
        <w:widowControl w:val="0"/>
        <w:tabs>
          <w:tab w:val="left" w:pos="621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S pozdravom  </w:t>
      </w:r>
    </w:p>
    <w:p w:rsidR="000760C9" w:rsidRDefault="000760C9" w:rsidP="000760C9">
      <w:pPr>
        <w:widowControl w:val="0"/>
        <w:tabs>
          <w:tab w:val="left" w:pos="6540"/>
        </w:tabs>
        <w:autoSpaceDE w:val="0"/>
        <w:autoSpaceDN w:val="0"/>
        <w:adjustRightInd w:val="0"/>
        <w:ind w:right="43"/>
        <w:rPr>
          <w:b/>
          <w:bCs/>
          <w:lang w:val="en-US"/>
        </w:rPr>
      </w:pPr>
    </w:p>
    <w:p w:rsidR="000760C9" w:rsidRDefault="000760C9" w:rsidP="000760C9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rPr>
          <w:b/>
          <w:bCs/>
          <w:lang w:val="en-US"/>
        </w:rPr>
      </w:pPr>
      <w:r>
        <w:rPr>
          <w:b/>
          <w:bCs/>
          <w:lang w:val="en-US"/>
        </w:rPr>
        <w:tab/>
        <w:t xml:space="preserve">                </w:t>
      </w:r>
    </w:p>
    <w:p w:rsidR="000760C9" w:rsidRDefault="000760C9" w:rsidP="000760C9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</w:t>
      </w:r>
    </w:p>
    <w:p w:rsidR="000760C9" w:rsidRDefault="000760C9" w:rsidP="000760C9">
      <w:pPr>
        <w:widowControl w:val="0"/>
        <w:tabs>
          <w:tab w:val="left" w:pos="5190"/>
          <w:tab w:val="left" w:pos="5550"/>
        </w:tabs>
        <w:autoSpaceDE w:val="0"/>
        <w:autoSpaceDN w:val="0"/>
        <w:adjustRightInd w:val="0"/>
        <w:ind w:right="43"/>
        <w:jc w:val="both"/>
        <w:outlineLvl w:val="0"/>
        <w:rPr>
          <w:sz w:val="24"/>
          <w:szCs w:val="24"/>
        </w:rPr>
      </w:pPr>
      <w:r>
        <w:tab/>
        <w:t xml:space="preserve">         </w:t>
      </w: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PhDr. Jana </w:t>
      </w:r>
      <w:proofErr w:type="spellStart"/>
      <w:r>
        <w:rPr>
          <w:b/>
          <w:sz w:val="24"/>
          <w:szCs w:val="24"/>
        </w:rPr>
        <w:t>Jakobejová</w:t>
      </w:r>
      <w:proofErr w:type="spellEnd"/>
      <w:r>
        <w:rPr>
          <w:b/>
          <w:sz w:val="24"/>
          <w:szCs w:val="24"/>
        </w:rPr>
        <w:t>, PhD.</w:t>
      </w: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riaditeľka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>.</w:t>
      </w: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</w:pP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</w:pP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</w:pP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</w:pP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</w:pP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</w:pP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</w:pP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</w:pP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</w:pP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</w:pPr>
    </w:p>
    <w:p w:rsidR="000760C9" w:rsidRDefault="000760C9" w:rsidP="000760C9">
      <w:pPr>
        <w:pStyle w:val="Normlnywebov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Príloh</w:t>
      </w:r>
      <w:r w:rsidR="00DB5E56">
        <w:rPr>
          <w:bCs/>
          <w:sz w:val="20"/>
          <w:szCs w:val="20"/>
        </w:rPr>
        <w:t>y</w:t>
      </w:r>
      <w:r>
        <w:rPr>
          <w:bCs/>
          <w:sz w:val="20"/>
          <w:szCs w:val="20"/>
        </w:rPr>
        <w:t>: Príloha k</w:t>
      </w:r>
      <w:r w:rsidR="00DB5E56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>výzve</w:t>
      </w:r>
      <w:r w:rsidR="00DB5E56">
        <w:rPr>
          <w:bCs/>
          <w:sz w:val="20"/>
          <w:szCs w:val="20"/>
        </w:rPr>
        <w:t>,  tabuľky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_____________________________________________________________________________________________</w:t>
      </w: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outlineLvl w:val="0"/>
        <w:rPr>
          <w:bCs/>
          <w:sz w:val="18"/>
          <w:szCs w:val="18"/>
        </w:rPr>
      </w:pPr>
    </w:p>
    <w:p w:rsidR="000760C9" w:rsidRDefault="000760C9" w:rsidP="000760C9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</w:pPr>
      <w:r>
        <w:rPr>
          <w:bCs/>
        </w:rPr>
        <w:t>IČO:35583720           DIČ: 2022902805              Tel.: 058/7320003          e-mail: roznavasenior</w:t>
      </w:r>
      <w:hyperlink r:id="rId5" w:history="1">
        <w:r>
          <w:rPr>
            <w:rStyle w:val="Hypertextovprepojenie"/>
            <w:bCs/>
          </w:rPr>
          <w:t>@</w:t>
        </w:r>
      </w:hyperlink>
      <w:r>
        <w:t xml:space="preserve">gmail.com      </w:t>
      </w:r>
    </w:p>
    <w:p w:rsidR="000760C9" w:rsidRDefault="000760C9" w:rsidP="000760C9"/>
    <w:p w:rsidR="00E71BA7" w:rsidRDefault="00E71BA7" w:rsidP="00E71BA7">
      <w:pPr>
        <w:rPr>
          <w:b/>
          <w:bCs/>
        </w:rPr>
      </w:pPr>
    </w:p>
    <w:p w:rsidR="00E71BA7" w:rsidRPr="000760C9" w:rsidRDefault="00E71BA7" w:rsidP="00E71BA7">
      <w:pPr>
        <w:widowControl w:val="0"/>
        <w:tabs>
          <w:tab w:val="left" w:pos="5550"/>
        </w:tabs>
        <w:autoSpaceDE w:val="0"/>
        <w:autoSpaceDN w:val="0"/>
        <w:adjustRightInd w:val="0"/>
        <w:ind w:right="43"/>
        <w:jc w:val="both"/>
        <w:outlineLvl w:val="0"/>
        <w:rPr>
          <w:bCs/>
        </w:rPr>
      </w:pPr>
      <w:r>
        <w:lastRenderedPageBreak/>
        <w:t xml:space="preserve">          </w:t>
      </w:r>
    </w:p>
    <w:p w:rsidR="00E71BA7" w:rsidRDefault="00E71BA7" w:rsidP="00E71BA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Príloha k výzve na predloženie cenovej ponuky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1.  Identifikácia verejného obstarávateľa </w:t>
      </w:r>
    </w:p>
    <w:p w:rsidR="00E71BA7" w:rsidRDefault="00E71BA7" w:rsidP="00E71BA7">
      <w:pPr>
        <w:tabs>
          <w:tab w:val="left" w:pos="1425"/>
        </w:tabs>
        <w:jc w:val="center"/>
        <w:rPr>
          <w:b/>
          <w:sz w:val="24"/>
          <w:szCs w:val="24"/>
        </w:rPr>
      </w:pPr>
    </w:p>
    <w:p w:rsidR="00E71BA7" w:rsidRDefault="00E71BA7" w:rsidP="00E71BA7">
      <w:pPr>
        <w:tabs>
          <w:tab w:val="left" w:pos="1425"/>
        </w:tabs>
      </w:pPr>
      <w:r>
        <w:rPr>
          <w:bCs/>
        </w:rPr>
        <w:t xml:space="preserve">       Verejný obstarávateľ :   </w:t>
      </w:r>
      <w:r>
        <w:rPr>
          <w:b/>
          <w:bCs/>
        </w:rPr>
        <w:t xml:space="preserve">Zariadenie pre seniorov Juraja </w:t>
      </w:r>
      <w:proofErr w:type="spellStart"/>
      <w:r>
        <w:rPr>
          <w:b/>
          <w:bCs/>
        </w:rPr>
        <w:t>Schoppera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n.o</w:t>
      </w:r>
      <w:proofErr w:type="spellEnd"/>
      <w:r>
        <w:rPr>
          <w:b/>
          <w:bCs/>
        </w:rPr>
        <w:t>.</w:t>
      </w:r>
      <w:r>
        <w:rPr>
          <w:rFonts w:ascii="Arial" w:hAnsi="Arial" w:cs="Arial"/>
        </w:rPr>
        <w:t xml:space="preserve">    </w:t>
      </w:r>
      <w:r>
        <w:rPr>
          <w:bCs/>
        </w:rPr>
        <w:t xml:space="preserve">                   </w:t>
      </w:r>
    </w:p>
    <w:p w:rsidR="00E71BA7" w:rsidRDefault="00E71BA7" w:rsidP="00E71BA7">
      <w:pPr>
        <w:tabs>
          <w:tab w:val="left" w:pos="1425"/>
        </w:tabs>
        <w:rPr>
          <w:bCs/>
        </w:rPr>
      </w:pPr>
      <w:r>
        <w:rPr>
          <w:bCs/>
        </w:rPr>
        <w:t xml:space="preserve">       Sídlo:                             </w:t>
      </w:r>
      <w:r>
        <w:rPr>
          <w:b/>
          <w:bCs/>
        </w:rPr>
        <w:t xml:space="preserve">Rožňava – Huta 3454, 048 01  Rožňava    </w:t>
      </w:r>
      <w:r>
        <w:rPr>
          <w:bCs/>
        </w:rPr>
        <w:t xml:space="preserve">        </w:t>
      </w:r>
    </w:p>
    <w:p w:rsidR="00E71BA7" w:rsidRDefault="00E71BA7" w:rsidP="00E71BA7">
      <w:pPr>
        <w:tabs>
          <w:tab w:val="left" w:pos="1425"/>
        </w:tabs>
        <w:rPr>
          <w:b/>
          <w:bCs/>
        </w:rPr>
      </w:pPr>
      <w:r>
        <w:rPr>
          <w:bCs/>
        </w:rPr>
        <w:t xml:space="preserve">       Zastúpený:                     </w:t>
      </w:r>
      <w:r>
        <w:rPr>
          <w:b/>
          <w:bCs/>
        </w:rPr>
        <w:t xml:space="preserve">PhDr. Jana </w:t>
      </w:r>
      <w:proofErr w:type="spellStart"/>
      <w:r>
        <w:rPr>
          <w:b/>
          <w:bCs/>
        </w:rPr>
        <w:t>Jakobejová</w:t>
      </w:r>
      <w:proofErr w:type="spellEnd"/>
      <w:r>
        <w:rPr>
          <w:b/>
          <w:bCs/>
        </w:rPr>
        <w:t>, PhD., riaditeľka n. o.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rPr>
          <w:bCs/>
        </w:rPr>
        <w:t xml:space="preserve">       IČO:                               35583720</w:t>
      </w:r>
    </w:p>
    <w:p w:rsidR="00E71BA7" w:rsidRDefault="00E71BA7" w:rsidP="00E71BA7">
      <w:pPr>
        <w:tabs>
          <w:tab w:val="left" w:pos="1425"/>
        </w:tabs>
        <w:rPr>
          <w:bCs/>
        </w:rPr>
      </w:pPr>
      <w:r>
        <w:rPr>
          <w:bCs/>
        </w:rPr>
        <w:t xml:space="preserve">       DIČ:                               2022902805  </w:t>
      </w:r>
    </w:p>
    <w:p w:rsidR="00E71BA7" w:rsidRDefault="00E71BA7" w:rsidP="00DB5E56">
      <w:pPr>
        <w:rPr>
          <w:bCs/>
        </w:rPr>
      </w:pPr>
      <w:r>
        <w:rPr>
          <w:bCs/>
        </w:rPr>
        <w:t xml:space="preserve">       </w:t>
      </w:r>
      <w:r w:rsidR="00DB5E56">
        <w:rPr>
          <w:bCs/>
        </w:rPr>
        <w:t>IBAN:</w:t>
      </w:r>
    </w:p>
    <w:p w:rsidR="00E71BA7" w:rsidRDefault="00E71BA7" w:rsidP="00E71BA7">
      <w:r>
        <w:t xml:space="preserve">       E-mail:                           roznavasenior@gmail.com</w:t>
      </w:r>
    </w:p>
    <w:p w:rsidR="00E71BA7" w:rsidRDefault="00E71BA7" w:rsidP="00E71BA7">
      <w:pPr>
        <w:widowControl w:val="0"/>
        <w:tabs>
          <w:tab w:val="left" w:pos="2295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>Tel.:</w:t>
      </w:r>
      <w:r>
        <w:rPr>
          <w:bCs/>
        </w:rPr>
        <w:tab/>
        <w:t>058/7320003</w:t>
      </w:r>
    </w:p>
    <w:p w:rsidR="00E71BA7" w:rsidRDefault="00E71BA7" w:rsidP="00E71BA7">
      <w:pPr>
        <w:tabs>
          <w:tab w:val="left" w:pos="3765"/>
        </w:tabs>
        <w:rPr>
          <w:bCs/>
        </w:rPr>
      </w:pP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  Typ zmluvy, ktorá sa má uzavrieť   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</w:t>
      </w:r>
      <w:r>
        <w:rPr>
          <w:bCs/>
        </w:rPr>
        <w:t>Kúpna zmluva</w:t>
      </w:r>
      <w:r>
        <w:t xml:space="preserve"> v súlade s Obchodným zákonníkom v platnom znení.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</w:rPr>
        <w:t xml:space="preserve">3.  Názov zákazky </w:t>
      </w:r>
    </w:p>
    <w:p w:rsidR="00E71BA7" w:rsidRDefault="00E71BA7" w:rsidP="00E71BA7">
      <w:pPr>
        <w:rPr>
          <w:b/>
        </w:rPr>
      </w:pPr>
      <w:r>
        <w:rPr>
          <w:b/>
        </w:rPr>
        <w:t xml:space="preserve">     „Potraviny“ </w:t>
      </w:r>
    </w:p>
    <w:p w:rsidR="00E71BA7" w:rsidRDefault="00E71BA7" w:rsidP="00E71BA7">
      <w:pPr>
        <w:rPr>
          <w:b/>
        </w:rPr>
      </w:pPr>
    </w:p>
    <w:p w:rsidR="00E71BA7" w:rsidRDefault="00E71BA7" w:rsidP="00E71BA7">
      <w:r>
        <w:rPr>
          <w:b/>
        </w:rPr>
        <w:t>4.   Kód CPV</w:t>
      </w:r>
      <w:r>
        <w:t>:</w:t>
      </w:r>
      <w:r>
        <w:rPr>
          <w:b/>
        </w:rPr>
        <w:t xml:space="preserve"> </w:t>
      </w:r>
      <w:r>
        <w:t>15300000-1,  15400000-2, 15600000-4, 15800000-6,15900000-7.</w:t>
      </w:r>
    </w:p>
    <w:p w:rsidR="00E71BA7" w:rsidRDefault="00E71BA7" w:rsidP="00E71BA7"/>
    <w:p w:rsidR="00E71BA7" w:rsidRDefault="00E71BA7" w:rsidP="00E71BA7">
      <w:pPr>
        <w:widowControl w:val="0"/>
        <w:tabs>
          <w:tab w:val="left" w:pos="258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5.  Stručný opis  zákazky </w:t>
      </w:r>
    </w:p>
    <w:p w:rsidR="00E71BA7" w:rsidRDefault="00E71BA7" w:rsidP="00E71BA7">
      <w:pPr>
        <w:widowControl w:val="0"/>
        <w:tabs>
          <w:tab w:val="left" w:pos="2580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V rámci zákazky bude pre verejného obstarávateľa  dodávané  potraviny  podľa  priloženého  rozpisu  min. dvakrát</w:t>
      </w:r>
    </w:p>
    <w:p w:rsidR="00E71BA7" w:rsidRDefault="00E71BA7" w:rsidP="00E71BA7">
      <w:pPr>
        <w:widowControl w:val="0"/>
        <w:tabs>
          <w:tab w:val="left" w:pos="258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do týždňa  na základe telefonickej objednávky  vedúcej kuchyne  deň  vopred v požadovaných množstvách. </w:t>
      </w:r>
    </w:p>
    <w:p w:rsidR="00E71BA7" w:rsidRDefault="00E71BA7" w:rsidP="00E71BA7">
      <w:pPr>
        <w:widowControl w:val="0"/>
        <w:tabs>
          <w:tab w:val="left" w:pos="258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Množstvo a  druh  tovaru  je predpokladané, môže sa meniť smerom nahor  alebo  nadol  podľa počtu a požiadaviek  </w:t>
      </w:r>
    </w:p>
    <w:p w:rsidR="00E71BA7" w:rsidRDefault="00E71BA7" w:rsidP="00E71BA7">
      <w:pPr>
        <w:widowControl w:val="0"/>
        <w:tabs>
          <w:tab w:val="left" w:pos="258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klientov zariadenia. 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Ďalšie podmienky dodania tovaru budú spresnené v kúpnej zmluve uzavretej s úspešným uchádzačom .                               .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Cs/>
        </w:rPr>
      </w:pP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6.  Predloženie ponuky   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</w:t>
      </w:r>
      <w:r>
        <w:t xml:space="preserve">Cenová ponuka bude predložená  na  celú zákazku. </w:t>
      </w:r>
      <w:r>
        <w:rPr>
          <w:bCs/>
        </w:rPr>
        <w:t xml:space="preserve"> V cene  bude  zahrnutá  aj  doprava  tovaru  na  adresu verejného  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obstarávateľa. Cena bude zaokrúhlená na dve desatinné miesta.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Cs/>
        </w:rPr>
      </w:pP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  Ekvivalent výrobkov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rPr>
          <w:bCs/>
        </w:rPr>
        <w:t xml:space="preserve">     Ak pri opise</w:t>
      </w:r>
      <w:r>
        <w:rPr>
          <w:bCs/>
          <w:color w:val="FF0000"/>
        </w:rPr>
        <w:t xml:space="preserve"> </w:t>
      </w:r>
      <w:r>
        <w:rPr>
          <w:bCs/>
        </w:rPr>
        <w:t>výrobkov</w:t>
      </w:r>
      <w:r>
        <w:t xml:space="preserve"> je uvedený názov, môže byť navrhnutý ekvivalent výrobkov v rovnakej alebo vyššej kvalite.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Cs/>
        </w:rPr>
      </w:pP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  Lehota na dodanie tovaru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</w:t>
      </w:r>
      <w:r>
        <w:rPr>
          <w:bCs/>
        </w:rPr>
        <w:t>Predpokladaný t</w:t>
      </w:r>
      <w:r>
        <w:t>ermín :  júl  2017 -  júl 2018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  Záručná doba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 xml:space="preserve">Podľa druhu výrobku. 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Cs/>
        </w:rPr>
      </w:pP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10. Kontaktná osoba 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PhDr. Jana </w:t>
      </w:r>
      <w:proofErr w:type="spellStart"/>
      <w:r>
        <w:rPr>
          <w:b/>
          <w:bCs/>
        </w:rPr>
        <w:t>Jakobejová</w:t>
      </w:r>
      <w:proofErr w:type="spellEnd"/>
      <w:r>
        <w:rPr>
          <w:b/>
          <w:bCs/>
        </w:rPr>
        <w:t xml:space="preserve">, PhD., riaditeľka  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</w:rPr>
      </w:pPr>
      <w:r>
        <w:t xml:space="preserve">      </w:t>
      </w:r>
      <w:r>
        <w:rPr>
          <w:b/>
        </w:rPr>
        <w:t xml:space="preserve">Mária </w:t>
      </w:r>
      <w:proofErr w:type="spellStart"/>
      <w:r>
        <w:rPr>
          <w:b/>
        </w:rPr>
        <w:t>Knábelová</w:t>
      </w:r>
      <w:proofErr w:type="spellEnd"/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</w:rPr>
      </w:pP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11.  Lehota na predloženie cenových ponúk 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</w:t>
      </w:r>
      <w:r>
        <w:t xml:space="preserve"> 12. 7.  2017  do 10. 00 hod.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rPr>
          <w:b/>
          <w:bCs/>
        </w:rPr>
        <w:t>12. Adresa na doručenie cenových ponúk.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t xml:space="preserve">      Adresa, na ktorú sa majú ponuky doručiť je uvedená v bode 1. 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t xml:space="preserve">      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13. Podmienky financovania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 </w:t>
      </w:r>
      <w:r>
        <w:t>-</w:t>
      </w:r>
      <w:r>
        <w:rPr>
          <w:bCs/>
        </w:rPr>
        <w:t xml:space="preserve"> objednávateľ</w:t>
      </w:r>
      <w:r>
        <w:t xml:space="preserve"> neposkytne predávajúcemu  finančné  preddavky. Platby sa uskutočnia formou  bezhotovostného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t xml:space="preserve">         platobného  styku na základe predloženej faktúry za dodávku  tovaru 1 x mesačne do 30 dní od  doručenia  </w:t>
      </w:r>
      <w:proofErr w:type="spellStart"/>
      <w:r>
        <w:t>fak</w:t>
      </w:r>
      <w:proofErr w:type="spellEnd"/>
      <w:r>
        <w:t>-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t xml:space="preserve">         túry kupujúcemu, prípadne v iných termínoch po vzájomnej dohode kupujúceho a predávajúceho.</w:t>
      </w:r>
    </w:p>
    <w:p w:rsidR="00E71BA7" w:rsidRDefault="00E71BA7" w:rsidP="00E71BA7">
      <w:pPr>
        <w:widowControl w:val="0"/>
        <w:autoSpaceDE w:val="0"/>
        <w:autoSpaceDN w:val="0"/>
        <w:adjustRightInd w:val="0"/>
        <w:jc w:val="center"/>
      </w:pPr>
      <w:r>
        <w:t>-  1  -</w:t>
      </w:r>
    </w:p>
    <w:p w:rsidR="00E71BA7" w:rsidRDefault="00E71BA7" w:rsidP="00E71BA7">
      <w:pPr>
        <w:widowControl w:val="0"/>
        <w:autoSpaceDE w:val="0"/>
        <w:autoSpaceDN w:val="0"/>
        <w:adjustRightInd w:val="0"/>
        <w:jc w:val="center"/>
      </w:pP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14. Podmienky účasti uchádzačov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- </w:t>
      </w:r>
      <w:r>
        <w:t>predloženie cenovej ponuky /ocenený zoznam tovarov/ podľa   prílohy na adresu verejného  obstarávateľa,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t xml:space="preserve">      - </w:t>
      </w:r>
      <w:r>
        <w:rPr>
          <w:bCs/>
        </w:rPr>
        <w:t xml:space="preserve">označenie obálky cenovej ponuky </w:t>
      </w:r>
      <w:r>
        <w:rPr>
          <w:b/>
          <w:bCs/>
        </w:rPr>
        <w:t xml:space="preserve">„Súťaž </w:t>
      </w:r>
      <w:r>
        <w:rPr>
          <w:b/>
        </w:rPr>
        <w:t xml:space="preserve">“ </w:t>
      </w:r>
      <w:r>
        <w:t xml:space="preserve">a heslo súťaže  </w:t>
      </w:r>
      <w:r>
        <w:rPr>
          <w:b/>
        </w:rPr>
        <w:t>„ Potraviny“.</w:t>
      </w:r>
      <w:r>
        <w:rPr>
          <w:bCs/>
          <w:color w:val="FF0000"/>
        </w:rPr>
        <w:t xml:space="preserve"> 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15. Kritérium na hodnotenie cenových ponúk</w:t>
      </w:r>
    </w:p>
    <w:p w:rsidR="00E71BA7" w:rsidRDefault="00E71BA7" w:rsidP="00E71BA7">
      <w:pPr>
        <w:tabs>
          <w:tab w:val="left" w:pos="3765"/>
        </w:tabs>
      </w:pPr>
      <w:r>
        <w:t xml:space="preserve">      Najnižšia cena v eur. 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Uchádzačovi  s  najnižšou   cenou   bude  pridelených  100 bodov, ostatným  uchádzačom   budú  body  pridelené</w:t>
      </w:r>
    </w:p>
    <w:p w:rsidR="00E71BA7" w:rsidRDefault="00E71BA7" w:rsidP="00E71BA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úmerne k ponuke uchádzača s najnižšou cenou.  </w:t>
      </w:r>
    </w:p>
    <w:p w:rsidR="00E71BA7" w:rsidRDefault="00E71BA7" w:rsidP="00E71BA7">
      <w:pPr>
        <w:tabs>
          <w:tab w:val="left" w:pos="3765"/>
        </w:tabs>
      </w:pPr>
      <w:r>
        <w:t xml:space="preserve">      Úspešným uchádzačom bude ten uchádzač, ktorý navrhne najnižšiu cenu v eur.</w:t>
      </w:r>
    </w:p>
    <w:p w:rsidR="00E71BA7" w:rsidRDefault="00E71BA7" w:rsidP="00E71BA7">
      <w:pPr>
        <w:tabs>
          <w:tab w:val="left" w:pos="3765"/>
        </w:tabs>
      </w:pPr>
    </w:p>
    <w:p w:rsidR="00E71BA7" w:rsidRDefault="00E71BA7" w:rsidP="00E71BA7">
      <w:pPr>
        <w:tabs>
          <w:tab w:val="left" w:pos="3765"/>
        </w:tabs>
        <w:rPr>
          <w:b/>
        </w:rPr>
      </w:pPr>
      <w:r>
        <w:rPr>
          <w:b/>
        </w:rPr>
        <w:t>16. Predpokladaná hodnota zákazky</w:t>
      </w:r>
    </w:p>
    <w:p w:rsidR="00E71BA7" w:rsidRDefault="00E71BA7" w:rsidP="00E71BA7">
      <w:pPr>
        <w:tabs>
          <w:tab w:val="left" w:pos="3765"/>
        </w:tabs>
        <w:rPr>
          <w:color w:val="FF0000"/>
        </w:rPr>
      </w:pPr>
      <w:r>
        <w:t xml:space="preserve">      14 605,64 </w:t>
      </w:r>
      <w:r>
        <w:rPr>
          <w:color w:val="FF0000"/>
        </w:rPr>
        <w:t xml:space="preserve"> </w:t>
      </w:r>
      <w:r>
        <w:t>eur bez DPH.</w:t>
      </w:r>
    </w:p>
    <w:p w:rsidR="00E71BA7" w:rsidRDefault="00E71BA7" w:rsidP="00E71BA7">
      <w:pPr>
        <w:tabs>
          <w:tab w:val="left" w:pos="3765"/>
        </w:tabs>
        <w:rPr>
          <w:color w:val="FF0000"/>
        </w:rPr>
      </w:pPr>
    </w:p>
    <w:p w:rsidR="00E71BA7" w:rsidRDefault="00E71BA7" w:rsidP="00E71B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17. Uplynutie lehoty viazanosti cenových ponúk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rPr>
          <w:bCs/>
        </w:rPr>
        <w:t xml:space="preserve">      1. 10. 2017</w:t>
      </w: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6360"/>
        </w:tabs>
        <w:autoSpaceDE w:val="0"/>
        <w:autoSpaceDN w:val="0"/>
        <w:adjustRightInd w:val="0"/>
      </w:pPr>
      <w:r>
        <w:t xml:space="preserve">      V Rožňave  - Hute dňa 1. 7. 2017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</w:p>
    <w:p w:rsidR="00E71BA7" w:rsidRDefault="00E71BA7" w:rsidP="00E71BA7">
      <w:pPr>
        <w:widowControl w:val="0"/>
        <w:autoSpaceDE w:val="0"/>
        <w:autoSpaceDN w:val="0"/>
        <w:adjustRightInd w:val="0"/>
      </w:pPr>
      <w:r>
        <w:t xml:space="preserve">     Spracovala: Ing. Anna Hlaváčová</w:t>
      </w:r>
    </w:p>
    <w:p w:rsidR="00E71BA7" w:rsidRDefault="00E71BA7" w:rsidP="00E71BA7">
      <w:pPr>
        <w:widowControl w:val="0"/>
        <w:autoSpaceDE w:val="0"/>
        <w:autoSpaceDN w:val="0"/>
        <w:adjustRightInd w:val="0"/>
      </w:pPr>
    </w:p>
    <w:p w:rsidR="00E71BA7" w:rsidRDefault="00E71BA7" w:rsidP="00E71BA7">
      <w:pPr>
        <w:widowControl w:val="0"/>
        <w:tabs>
          <w:tab w:val="left" w:pos="5520"/>
        </w:tabs>
        <w:autoSpaceDE w:val="0"/>
        <w:autoSpaceDN w:val="0"/>
        <w:adjustRightInd w:val="0"/>
        <w:jc w:val="center"/>
        <w:rPr>
          <w:b/>
          <w:bCs/>
        </w:rPr>
      </w:pPr>
    </w:p>
    <w:p w:rsidR="00E71BA7" w:rsidRDefault="00E71BA7" w:rsidP="00E71BA7">
      <w:pPr>
        <w:pStyle w:val="Odsekzoznamu"/>
        <w:widowControl w:val="0"/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     -</w:t>
      </w:r>
    </w:p>
    <w:p w:rsidR="00E71BA7" w:rsidRDefault="00E71BA7" w:rsidP="00E71BA7">
      <w:pPr>
        <w:tabs>
          <w:tab w:val="left" w:pos="3180"/>
        </w:tabs>
        <w:rPr>
          <w:b/>
          <w:bCs/>
        </w:rPr>
      </w:pPr>
    </w:p>
    <w:sectPr w:rsidR="00E71BA7" w:rsidSect="00E71B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AB2"/>
    <w:multiLevelType w:val="hybridMultilevel"/>
    <w:tmpl w:val="C4989198"/>
    <w:lvl w:ilvl="0" w:tplc="E8EC4FD2">
      <w:start w:val="4"/>
      <w:numFmt w:val="bullet"/>
      <w:lvlText w:val="-"/>
      <w:lvlJc w:val="left"/>
      <w:pPr>
        <w:ind w:left="503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71BA7"/>
    <w:rsid w:val="000760C9"/>
    <w:rsid w:val="002A0733"/>
    <w:rsid w:val="009C4BC4"/>
    <w:rsid w:val="00DB5E56"/>
    <w:rsid w:val="00E7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E71BA7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E71BA7"/>
    <w:pPr>
      <w:spacing w:before="100" w:beforeAutospacing="1" w:after="119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71BA7"/>
    <w:pPr>
      <w:ind w:left="720"/>
      <w:contextualSpacing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.stitnik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2017-07-01T15:08:00Z</dcterms:created>
  <dcterms:modified xsi:type="dcterms:W3CDTF">2017-07-01T15:15:00Z</dcterms:modified>
</cp:coreProperties>
</file>